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63E" w:rsidRDefault="00F26CC7">
      <w:pPr>
        <w:pStyle w:val="ConsPlusNormal"/>
        <w:jc w:val="right"/>
        <w:outlineLvl w:val="0"/>
      </w:pPr>
      <w:bookmarkStart w:id="0" w:name="_GoBack"/>
      <w:bookmarkEnd w:id="0"/>
      <w:r>
        <w:t>Приложение N 4</w:t>
      </w:r>
    </w:p>
    <w:p w:rsidR="00FF263E" w:rsidRDefault="00F26CC7">
      <w:pPr>
        <w:pStyle w:val="ConsPlusNormal"/>
        <w:jc w:val="right"/>
      </w:pPr>
      <w:r>
        <w:t>к Программе</w:t>
      </w:r>
    </w:p>
    <w:p w:rsidR="00FF263E" w:rsidRDefault="00FF263E">
      <w:pPr>
        <w:pStyle w:val="ConsPlusNormal"/>
        <w:jc w:val="both"/>
      </w:pPr>
    </w:p>
    <w:p w:rsidR="00FF263E" w:rsidRDefault="00F26CC7">
      <w:pPr>
        <w:pStyle w:val="ConsPlusTitle"/>
        <w:jc w:val="center"/>
      </w:pPr>
      <w:r>
        <w:t>ПРАВИЛА</w:t>
      </w:r>
    </w:p>
    <w:p w:rsidR="00FF263E" w:rsidRDefault="00F26CC7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FF263E" w:rsidRDefault="00F26CC7">
      <w:pPr>
        <w:pStyle w:val="ConsPlusTitle"/>
        <w:jc w:val="center"/>
      </w:pPr>
      <w:r>
        <w:t xml:space="preserve">БЮДЖЕТА МЕСТНЫМ БЮДЖЕТАМ НА ПРОВЕДЕНИЕ </w:t>
      </w:r>
      <w:proofErr w:type="gramStart"/>
      <w:r>
        <w:t>КАПИТАЛЬНЫХ</w:t>
      </w:r>
      <w:proofErr w:type="gramEnd"/>
      <w:r>
        <w:t xml:space="preserve"> И ТЕКУЩИХ</w:t>
      </w:r>
    </w:p>
    <w:p w:rsidR="00FF263E" w:rsidRDefault="00F26CC7">
      <w:pPr>
        <w:pStyle w:val="ConsPlusTitle"/>
        <w:jc w:val="center"/>
      </w:pPr>
      <w:r>
        <w:t>РЕМОНТОВ МУНИЦИПАЛЬНЫХ ОБРАЗОВАТЕЛЬНЫХ ОРГАНИЗАЦИЙ</w:t>
      </w:r>
    </w:p>
    <w:p w:rsidR="00FF263E" w:rsidRDefault="00FF263E">
      <w:pPr>
        <w:pStyle w:val="ConsPlusNormal"/>
        <w:jc w:val="both"/>
      </w:pPr>
    </w:p>
    <w:p w:rsidR="00FF263E" w:rsidRDefault="00F26CC7">
      <w:pPr>
        <w:pStyle w:val="ConsPlusNormal"/>
        <w:ind w:firstLine="540"/>
        <w:jc w:val="both"/>
      </w:pPr>
      <w:r>
        <w:t>1. Настоящие Правила устанавливают цели, условия и порядок предоставления и распределения субсидий из областного бюджета местным бюджетам на проведение капитальных и текущих ремонтов муниципальных образовательных организаций (далее - субсидии).</w:t>
      </w:r>
    </w:p>
    <w:p w:rsidR="00FF263E" w:rsidRDefault="00F26CC7">
      <w:pPr>
        <w:pStyle w:val="ConsPlusNormal"/>
        <w:spacing w:before="240"/>
        <w:ind w:firstLine="540"/>
        <w:jc w:val="both"/>
      </w:pPr>
      <w:bookmarkStart w:id="1" w:name="P9"/>
      <w:bookmarkEnd w:id="1"/>
      <w:r>
        <w:t>2. Субсидии</w:t>
      </w:r>
      <w:r>
        <w:t xml:space="preserve"> предоставляются Министерством строительства Мурманской области (далее - Минстрой) из областного бюджета местным бюджетам в целях софинансирования расходных обязательств, возникающих при выполнении полномочий органов местного самоуправления муниципальных о</w:t>
      </w:r>
      <w:r>
        <w:t>бразований по решению вопросов местного значения на проведение капитальных и текущих ремонтов муниципальных образовательных организаций.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Субсидии предоставляются по итогам рассмотрения заявок, поступивших в срок не позднее 15 августа года, предшествующе</w:t>
      </w:r>
      <w:r>
        <w:t>го году предоставления субсидий, в адрес Министерства образования и науки Мурманской области от органов местного самоуправления муниципальных образований в соответствии со сводной бюджетной росписью областного бюджета в пределах лимитов бюджетных обязатель</w:t>
      </w:r>
      <w:r>
        <w:t xml:space="preserve">ств, доведенных до Минстроя как получателя средств областного бюджета, на реализацию мероприятия, указанного в </w:t>
      </w:r>
      <w:hyperlink w:anchor="P9" w:tooltip="2. Субсидии предоставляются Министерством строительства Мурманской области (далее - Минстрой) из областного бюджета местным бюджетам в целях софинансирования расходных обязательств, возникающих при выполнении полномочий органов местного самоуправления муниципа">
        <w:r>
          <w:rPr>
            <w:color w:val="0000FF"/>
          </w:rPr>
          <w:t>пункте 2</w:t>
        </w:r>
        <w:proofErr w:type="gramEnd"/>
      </w:hyperlink>
      <w:r>
        <w:t xml:space="preserve"> настоящих Правил.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Основанием для отказа в предоставлении субсидий является отсутствие документов, под</w:t>
      </w:r>
      <w:r>
        <w:t>тверждающих соблюдение критериев и условий предоставления субсидий.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4. Критерием отбора муниципальных образований для предоставления субсидий является количество баллов, набранных по результатам оценки численных характеристик объектов по следующим критерия</w:t>
      </w:r>
      <w:r>
        <w:t>м: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- количество учреждений соответствующей функциональной принадлежности на территории населенного пункта (1 - 10 баллов, от 2 до 5 - 5 баллов, 5 и более - 2 балла);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- численность потребителей муниципальных услуг, оказываемых данным учреждением (более 1000</w:t>
      </w:r>
      <w:r>
        <w:t xml:space="preserve"> человек - 10 баллов, от 300 до 1000 человек - 5 баллов, менее 300 человек - 2 балла);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- степень износа здания и сооружения (от 51 до 100 % - 10 баллов, от 20 до 50 % - 5 баллов, менее 20 % - 2 балла);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 xml:space="preserve">- наличие потребности в ремонте (дефектной ведомости) </w:t>
      </w:r>
      <w:r>
        <w:t>(наличие - 10 баллов, отсутствие - 0 баллов);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- наличие сметной документации на проведение работ (наличие - 10 баллов, отсутствие - 0 баллов).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По результатам ранжирования Министерством образования и науки Мурманской области принимается решение о предоставл</w:t>
      </w:r>
      <w:r>
        <w:t>ении субсидий муниципальным образованиям, объекты которых набрали наибольшее количество баллов.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 xml:space="preserve">В случае если итоговые балльные оценки по объектам совпадают, то приоритет в рейтинге </w:t>
      </w:r>
      <w:r>
        <w:lastRenderedPageBreak/>
        <w:t>отдается объекту с худшим техническим состоянием (по наибольшему техническ</w:t>
      </w:r>
      <w:r>
        <w:t>ому износу).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5. Субсидии предоставляются при соблюдении муниципальными образованиями следующих условий: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1) наличие правового акта муниципального образования, утверждающего перечень мероприятий, в целях софинансирования которых предоставляются субсидии;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 xml:space="preserve">2) </w:t>
      </w:r>
      <w:r>
        <w:t>заключение соглашения о предоставлении субсидий из областного бюджета 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предоставляются субсидии, и ответственност</w:t>
      </w:r>
      <w:r>
        <w:t>ь за невыполнение предусмотренных указанным соглашением обязательств;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3) в случае если субсидии предоставляются на реализацию мероприятия по текущему ремонту - наличие документа об утверждении стоимости проведения ремонта с указанием объемов работ;</w:t>
      </w:r>
    </w:p>
    <w:p w:rsidR="00FF263E" w:rsidRDefault="00F26CC7">
      <w:pPr>
        <w:pStyle w:val="ConsPlusNormal"/>
        <w:spacing w:before="240"/>
        <w:ind w:firstLine="540"/>
        <w:jc w:val="both"/>
      </w:pPr>
      <w:proofErr w:type="gramStart"/>
      <w:r>
        <w:t>4) в случае если субсидии предоставляются на реализацию мероприятия по капитальному ремонту - наличие утвержденной проектной документации на капитальный ремонт объектов, прошедшей проверку достоверности определения сметной стоимости в ГОАУ "Управление госу</w:t>
      </w:r>
      <w:r>
        <w:t>дарственной экспертизы Мурманской области" в случаях, предусмотренных законодательством, или наличие обязательства муниципального образования, предусматривающего обеспечение разработки проектно-сметной документации, проведение в установленных законодательс</w:t>
      </w:r>
      <w:r>
        <w:t>твом РФ случаях государственной экспертизы проектной документации и проверки достоверности</w:t>
      </w:r>
      <w:proofErr w:type="gramEnd"/>
      <w:r>
        <w:t xml:space="preserve"> сметной стоимости строительства в отношении субсидий на капитальные вложения в объекты муниципальной собственности.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 xml:space="preserve">6. </w:t>
      </w:r>
      <w:proofErr w:type="gramStart"/>
      <w:r>
        <w:t>Если за счет средств субсидий муниципальными з</w:t>
      </w:r>
      <w:r>
        <w:t>аказчиками, муниципальными бюджетными учреждениями, муниципальными унитарными предприятиями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обязательным у</w:t>
      </w:r>
      <w:r>
        <w:t>словием предоставления субсидий является централизация закупок в соответствии с частью 7 статьи 26 Федерального закона от 05.04.2013 N 44-ФЗ "О контрактной системе в сфере закупок товаров, работ, услуг для обеспечения государственных и</w:t>
      </w:r>
      <w:proofErr w:type="gramEnd"/>
      <w:r>
        <w:t xml:space="preserve"> муниципальных нужд" </w:t>
      </w:r>
      <w:r>
        <w:t>(далее - Закон N 44-ФЗ),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Если за счет средств субсидий автоно</w:t>
      </w:r>
      <w:r>
        <w:t>мным учреждением, иным юридическим лицом осуществляется закупка в соответствии с частью 4 статьи 15 Закона N 44-ФЗ, обязательными условиями предоставления субсидии являются направление в Комитет по конкурентной политике Мурманской области (далее - Комитет)</w:t>
      </w:r>
      <w:r>
        <w:t xml:space="preserve"> проекта извещения об осуществлении такой закупки и применение типовых форм, утверждаемых Комитетом.</w:t>
      </w:r>
    </w:p>
    <w:p w:rsidR="00FF263E" w:rsidRDefault="00F26CC7">
      <w:pPr>
        <w:pStyle w:val="ConsPlusNormal"/>
        <w:spacing w:before="240"/>
        <w:ind w:firstLine="540"/>
        <w:jc w:val="both"/>
      </w:pPr>
      <w:proofErr w:type="gramStart"/>
      <w:r>
        <w:t>Закупки товаров, работ, услуг за счет средств субсидий в соответствии с Федеральным законом от 18.07.2011 N 223-ФЗ "О закупках товаров, работ, услуг отдель</w:t>
      </w:r>
      <w:r>
        <w:t>ными видами юридических лиц" (далее - Закон N 223-ФЗ) осуществляются заказчиками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</w:t>
      </w:r>
      <w:r>
        <w:t>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</w:t>
      </w:r>
      <w:proofErr w:type="gramStart"/>
      <w:r>
        <w:t xml:space="preserve">проектов, которые осуществляются заказчиками в рамках заключенного </w:t>
      </w:r>
      <w:r>
        <w:lastRenderedPageBreak/>
        <w:t>соглашения с государственным автономным учреждением Мурманской области "Региональ</w:t>
      </w:r>
      <w:r>
        <w:t>ный центр организации закупок" о передаче полномочий по организации и проведению на безвозмездной основе закупок, осуществляемых конкурентными способами в соответствии с Законом N 223-ФЗ в целях реализации заказчиком за счет средств субсидии региональных п</w:t>
      </w:r>
      <w:r>
        <w:t>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7. Субсидии предоставляются на основании соглашения, заключенного между Минстроем и администрацией соответствующего муницип</w:t>
      </w:r>
      <w:r>
        <w:t>ального образования (далее - соглашение) в электронном виде с использованием программного комплекса "Реестр соглашений" электронной системы "</w:t>
      </w:r>
      <w:proofErr w:type="spellStart"/>
      <w:r>
        <w:t>Web</w:t>
      </w:r>
      <w:proofErr w:type="spellEnd"/>
      <w:r>
        <w:t>-Бюджет" в соответствии с типовой формой, утверждаемой Министерством финансов Мурманской области.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 xml:space="preserve">Представление </w:t>
      </w:r>
      <w:r>
        <w:t xml:space="preserve">отчетности, предусмотренной </w:t>
      </w:r>
      <w:hyperlink w:anchor="P54" w:tooltip="14. Основанием для освобождения муниципальных образований от применения мер ответственности, предусмотренных пунктом 12 настоящих Правил, является документально подтвержденное наступление следующих обстоятельств непреодолимой силы, препятствующих исполнению со">
        <w:r>
          <w:rPr>
            <w:color w:val="0000FF"/>
          </w:rPr>
          <w:t>пунктом 14</w:t>
        </w:r>
      </w:hyperlink>
      <w:r>
        <w:t xml:space="preserve"> настоящих Правил, осуществляется посредством программного комплекса.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Соглашение должно содержать положения, предусмотренные Правилами формирования, предоставления и распределения су</w:t>
      </w:r>
      <w:r>
        <w:t>бсидий из областного бюджета местным бюджетам Мурманской области, утвержденными постановлением Правительства Мурманской области от 05.09.2011 N 445-ПП (далее - Правила N 445-ПП).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Заключение соглашений о предоставлении субсидий местным бюджетам из областног</w:t>
      </w:r>
      <w:r>
        <w:t>о бюджета на срок, превышающий срок действия утвержденных лимитов бюджетных обязательств, осуществляется в случаях, предусмотренных нормативными правовыми актами Правительства Мурманской области, в пределах средств и на сроки, которые установлены указанным</w:t>
      </w:r>
      <w:r>
        <w:t>и актами.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 xml:space="preserve">В случае внесения в закон Мурманской области об областном бюджете на очередной финансовый год и плановый период и (или) нормативный правовой акт Правительства Мурманской области изменений, предусматривающих уточнение в соответствующем финансовом </w:t>
      </w:r>
      <w:r>
        <w:t>году объемов бюджетных ассигнований на предоставление субсидий, в соглашение вносятся соответствующие изменения.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При заключении соглашения администрация соответствующего муниципального образования в адрес Минстроя представляет: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а) в электронном виде посред</w:t>
      </w:r>
      <w:r>
        <w:t>ством программного комплекса "Реестр соглашений" электронной системы "</w:t>
      </w:r>
      <w:proofErr w:type="spellStart"/>
      <w:r>
        <w:t>Web</w:t>
      </w:r>
      <w:proofErr w:type="spellEnd"/>
      <w:r>
        <w:t xml:space="preserve">-Бюджет" муниципальные правовые акты, утверждающие мероприятия, указанные в пункте в </w:t>
      </w:r>
      <w:hyperlink w:anchor="P9" w:tooltip="2. Субсидии предоставляются Министерством строительства Мурманской области (далее - Минстрой) из областного бюджета местным бюджетам в целях софинансирования расходных обязательств, возникающих при выполнении полномочий органов местного самоуправления муниципа">
        <w:r>
          <w:rPr>
            <w:color w:val="0000FF"/>
          </w:rPr>
          <w:t>пункте 2</w:t>
        </w:r>
      </w:hyperlink>
      <w:r>
        <w:t xml:space="preserve"> настоящих Правил;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б) копии документов об утверждении п</w:t>
      </w:r>
      <w:r>
        <w:t xml:space="preserve">роектной документации, содержащей технико-экономические показатели проекта (стоимость работ, площадь ремонта и прочее), положительного заключения государственной экспертизы проектной документации (в </w:t>
      </w:r>
      <w:proofErr w:type="gramStart"/>
      <w:r>
        <w:t>случае</w:t>
      </w:r>
      <w:proofErr w:type="gramEnd"/>
      <w:r>
        <w:t xml:space="preserve"> когда проведение этой экспертизы в соответствии с </w:t>
      </w:r>
      <w:r>
        <w:t>законодательством Российской Федерации является обязательным) и положительного заключения о проверке достоверности сметной стоимости объекта или обязательства муниципального образования, предусматривающего обеспечение разработки проектной документации, про</w:t>
      </w:r>
      <w:r>
        <w:t>ведение в установленных законодательством Российской Федерации случаях государственной экспертизы проектной документации и проверки достоверности сметной стоимости объекта.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8. Субсидии перечисляются на единые счета местных бюджетов, открытые финансовым орг</w:t>
      </w:r>
      <w:r>
        <w:t xml:space="preserve">анам муниципальных образований в территориальных органах Федерального казначейства для </w:t>
      </w:r>
      <w:r>
        <w:lastRenderedPageBreak/>
        <w:t>осуществления операций по исполнению местного бюджета, на лицевой счет соответствующего администратора доходов, уполномоченного на использование субсидий.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9. Субсидии из</w:t>
      </w:r>
      <w:r>
        <w:t xml:space="preserve"> областного бюджета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реализации муниципальных программ, содержащих мероприятия по проведению капитальных и те</w:t>
      </w:r>
      <w:r>
        <w:t>кущих ремонтов муниципальных образовательных организаций, между муниципальными образованиями распределяются Минстроем: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- в первую очередь средства субсидий распределяются между муниципальными образованиями, имеющими уровень расчетной бюджетной обеспеченнос</w:t>
      </w:r>
      <w:r>
        <w:t>ти на текущий финансовый год менее или равный 1.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Размер субсидий муниципальному образованию определяется с учетом уровня софинансирования из областного бюджета расходного обязательства муниципального образования от заявленной потребности;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- во вторую очере</w:t>
      </w:r>
      <w:r>
        <w:t>дь средства субсидий распределяются между муниципальными образованиями, имеющими уровень расчетной бюджетной обеспеченности на текущий финансовый год более 1.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Размер субсидий муниципальному образованию определяется с учетом уровня софинансирования из облас</w:t>
      </w:r>
      <w:r>
        <w:t>тного бюджета расходного обязательства муниципального образования от заявленной потребности.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В случае если общий размер потребности в субсидиях превышает объем нераспределенных средств, размер субсидий муниципальному образованию определяется в объеме удельного веса потребности муниципального образования от общего размера потребности.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10. Уровень с</w:t>
      </w:r>
      <w:r>
        <w:t>офинансирования из областного бюджета расходного обязательства муниципального образования устанавливается в соответствии с предельным уровнем софинансирования расходного обязательства муниципального образования из областного бюджета, утвержденным постановл</w:t>
      </w:r>
      <w:r>
        <w:t>ением Правительства Мурманской области на соответствующий финансовый год.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В случае предоставления субсидий в целях софинансирования расходного обязательства муниципального образования, предусматривающего реализацию более одного мероприятия, возможно устано</w:t>
      </w:r>
      <w:r>
        <w:t>вление в соглашении различных уровней софинансирования расходного обязательства муниципального образования из областного бюджета по отдельным мероприятиям в соответствии с предельным уровнем софинансирования из областного бюджета расходного обязательства м</w:t>
      </w:r>
      <w:r>
        <w:t>униципального образования, утвержденным Правительством Мурманской области.</w:t>
      </w:r>
    </w:p>
    <w:p w:rsidR="00FF263E" w:rsidRDefault="00F26CC7">
      <w:pPr>
        <w:pStyle w:val="ConsPlusNormal"/>
        <w:spacing w:before="240"/>
        <w:ind w:firstLine="540"/>
        <w:jc w:val="both"/>
      </w:pPr>
      <w:proofErr w:type="gramStart"/>
      <w:r>
        <w:t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</w:t>
      </w:r>
      <w:r>
        <w:t>бязательства муниципального образования, в целях софинансирования которого предоставляются субсидии, то указанные бюджетные ассигнования предусматриваются по иным кодам классификации расходов, отличным от кодов классификации расходов местных бюджетов, по к</w:t>
      </w:r>
      <w:r>
        <w:t>оторым предусмотрены бюджетные ассигнования на исполнение расходного обязательства муниципального образования, софинансируемого из</w:t>
      </w:r>
      <w:proofErr w:type="gramEnd"/>
      <w:r>
        <w:t xml:space="preserve"> областного бюджета.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lastRenderedPageBreak/>
        <w:t xml:space="preserve">11. Целевым показателем результативности использования субсидий являются доля отремонтированных площадей </w:t>
      </w:r>
      <w:r>
        <w:t>от общего объема площадей, запланированных к проведению ремонтных работ по Программе.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Оценка результативности использования субсидий осуществляется исходя из степени достижения показателя результативности использования.</w:t>
      </w:r>
    </w:p>
    <w:p w:rsidR="00FF263E" w:rsidRDefault="00F26CC7">
      <w:pPr>
        <w:pStyle w:val="ConsPlusNormal"/>
        <w:spacing w:before="240"/>
        <w:ind w:firstLine="540"/>
        <w:jc w:val="both"/>
      </w:pPr>
      <w:bookmarkStart w:id="2" w:name="P48"/>
      <w:bookmarkEnd w:id="2"/>
      <w:r>
        <w:t>12. Не использованные на 1 января те</w:t>
      </w:r>
      <w:r>
        <w:t>кущего финансового года средства субсидий подлежат возврату в доход областного бюджета.</w:t>
      </w:r>
    </w:p>
    <w:p w:rsidR="00FF263E" w:rsidRDefault="00F26CC7">
      <w:pPr>
        <w:pStyle w:val="ConsPlusNormal"/>
        <w:spacing w:before="240"/>
        <w:ind w:firstLine="540"/>
        <w:jc w:val="both"/>
      </w:pPr>
      <w:proofErr w:type="gramStart"/>
      <w:r>
        <w:t>В соответствии с решением Минстроя о наличии потребности в средствах субсидий, не использованных в отчетном финансовом году, согласованным с Министерством финансов Мурм</w:t>
      </w:r>
      <w:r>
        <w:t>анской области, средства в объеме, не превышающем остатка субсидий,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</w:t>
      </w:r>
      <w:r>
        <w:t>казанных субсидий.</w:t>
      </w:r>
      <w:proofErr w:type="gramEnd"/>
    </w:p>
    <w:p w:rsidR="00FF263E" w:rsidRDefault="00F26CC7">
      <w:pPr>
        <w:pStyle w:val="ConsPlusNormal"/>
        <w:spacing w:before="240"/>
        <w:ind w:firstLine="540"/>
        <w:jc w:val="both"/>
      </w:pPr>
      <w:r>
        <w:t>В случае если неиспользованный остаток средств субсидий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Потр</w:t>
      </w:r>
      <w:r>
        <w:t>ебность в неиспользованных остатках средств субсидий, перечисление которых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</w:t>
      </w:r>
      <w:r>
        <w:t>спечения которых являются субсидии из областного бюджета (далее - под фактическую потребность), определяется в текущем финансовом году в соответствии с решением Минстроя.</w:t>
      </w:r>
    </w:p>
    <w:p w:rsidR="00FF263E" w:rsidRDefault="00F26CC7">
      <w:pPr>
        <w:pStyle w:val="ConsPlusNormal"/>
        <w:spacing w:before="24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предоставление кото</w:t>
      </w:r>
      <w:r>
        <w:t>рых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</w:t>
      </w:r>
      <w:r>
        <w:t>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Минстроем в Министерство финансов Мурманской области.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 xml:space="preserve">13. </w:t>
      </w:r>
      <w:proofErr w:type="gramStart"/>
      <w:r>
        <w:t>В случае если в отчетном финансовом году муниципальным образованием допущены нарушения обязательств, предусмотренных соглашением в соответствии с по</w:t>
      </w:r>
      <w:r>
        <w:t>дпунктом 5 пункта 7 Правил N 445-ПП, объем средств, подлежащий возврату в областной бюджет в срок до 1 июня года, следующего за годом предоставления субсидий, определяется в соответствии с пунктом 12 Правил N 445-ПП.</w:t>
      </w:r>
      <w:proofErr w:type="gramEnd"/>
    </w:p>
    <w:p w:rsidR="00FF263E" w:rsidRDefault="00F26CC7">
      <w:pPr>
        <w:pStyle w:val="ConsPlusNormal"/>
        <w:spacing w:before="240"/>
        <w:ind w:firstLine="540"/>
        <w:jc w:val="both"/>
      </w:pPr>
      <w:bookmarkStart w:id="3" w:name="P54"/>
      <w:bookmarkEnd w:id="3"/>
      <w:r>
        <w:t>14. Основанием для освобождения муницип</w:t>
      </w:r>
      <w:r>
        <w:t xml:space="preserve">альных образований от применения мер ответственности, предусмотренных </w:t>
      </w:r>
      <w:hyperlink w:anchor="P48" w:tooltip="12. Не использованные на 1 января текущего финансового года средства субсидий подлежат возврату в доход областного бюджета.">
        <w:r>
          <w:rPr>
            <w:color w:val="0000FF"/>
          </w:rPr>
          <w:t>пунктом 12</w:t>
        </w:r>
      </w:hyperlink>
      <w:r>
        <w:t xml:space="preserve"> настоящих Правил, яв</w:t>
      </w:r>
      <w:r>
        <w:t>ляется документально подтвержденное наступление следующих обстоятельств непреодолимой силы, препятствующих исполнению соответствующих обязательств: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1) установление регионального (межмуниципального) и (или) местного уровня реагирования на чрезвычайную ситуа</w:t>
      </w:r>
      <w:r>
        <w:t xml:space="preserve">цию, введение ограничительных мероприятий, направленных на обеспечение санитарно-эпидемиологического благополучия населения, подтвержденное правовым </w:t>
      </w:r>
      <w:r>
        <w:lastRenderedPageBreak/>
        <w:t>актом органа государственной власти Мурманской области и (или) органа местного самоуправления;</w:t>
      </w:r>
    </w:p>
    <w:p w:rsidR="00FF263E" w:rsidRDefault="00F26CC7">
      <w:pPr>
        <w:pStyle w:val="ConsPlusNormal"/>
        <w:spacing w:before="240"/>
        <w:ind w:firstLine="540"/>
        <w:jc w:val="both"/>
      </w:pPr>
      <w:proofErr w:type="gramStart"/>
      <w:r>
        <w:t>2) установле</w:t>
      </w:r>
      <w:r>
        <w:t>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Мурманской области;</w:t>
      </w:r>
      <w:proofErr w:type="gramEnd"/>
    </w:p>
    <w:p w:rsidR="00FF263E" w:rsidRDefault="00F26CC7">
      <w:pPr>
        <w:pStyle w:val="ConsPlusNormal"/>
        <w:spacing w:before="240"/>
        <w:ind w:firstLine="540"/>
        <w:jc w:val="both"/>
      </w:pPr>
      <w:r>
        <w:t>3) аномальные погодные условия, по</w:t>
      </w:r>
      <w:r>
        <w:t>дтвержденные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4) наличие вступившего в законную силу в году предостав</w:t>
      </w:r>
      <w:r>
        <w:t>ления субсидий решения арбитражного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 в соответствии с подпунктом 6 пункта 7 Правил N 445-ПП.</w:t>
      </w:r>
    </w:p>
    <w:p w:rsidR="00FF263E" w:rsidRDefault="00F26CC7">
      <w:pPr>
        <w:pStyle w:val="ConsPlusNormal"/>
        <w:spacing w:before="240"/>
        <w:ind w:firstLine="540"/>
        <w:jc w:val="both"/>
      </w:pPr>
      <w:proofErr w:type="gramStart"/>
      <w:r>
        <w:t>В случае от</w:t>
      </w:r>
      <w:r>
        <w:t xml:space="preserve">сутствия оснований для освобождения муниципальных образований от применения мер ответственности, предусмотренных </w:t>
      </w:r>
      <w:hyperlink w:anchor="P48" w:tooltip="12. Не использованные на 1 января текущего финансового года средства субсидий подлежат возврату в доход областного бюджета.">
        <w:r>
          <w:rPr>
            <w:color w:val="0000FF"/>
          </w:rPr>
          <w:t>пунктом 12</w:t>
        </w:r>
      </w:hyperlink>
      <w:r>
        <w:t xml:space="preserve"> настоящих Правил, Минстрой не позднее 30-го рабочего дня после первой даты представления отчетности о достижении значений результатов использования субсидий в соответствии с соглашением в году, следующем за годом предоставления субси</w:t>
      </w:r>
      <w:r>
        <w:t>дий, направляет главе администрации муниципального образования требование по возврату из местного бюджета в областной бюджет объема</w:t>
      </w:r>
      <w:proofErr w:type="gramEnd"/>
      <w:r>
        <w:t xml:space="preserve"> средств, рассчитанного в соответствии с </w:t>
      </w:r>
      <w:hyperlink w:anchor="P48" w:tooltip="12. Не использованные на 1 января текущего финансового года средства субсидий подлежат возврату в доход областного бюджета.">
        <w:r>
          <w:rPr>
            <w:color w:val="0000FF"/>
          </w:rPr>
          <w:t>пунктом 12</w:t>
        </w:r>
      </w:hyperlink>
      <w:r>
        <w:t xml:space="preserve"> настоящих Правил, с указанием сумм, подлежащих возврату, средств и сроков их возврата в соответствии с настоящими Правилами.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 xml:space="preserve">15. </w:t>
      </w:r>
      <w:proofErr w:type="gramStart"/>
      <w:r>
        <w:t>Уполномоченные органы муниципальных образован</w:t>
      </w:r>
      <w:r>
        <w:t>ий ежеквартально, до 5-го числа месяца, следующего за отчетным периодом, представляют в Министерство образования и науки Мурманской области отчет об осуществлении расходов местного бюджета, в целях софинансирования которых предоставляются средства субсидий</w:t>
      </w:r>
      <w:r>
        <w:t>, и о достигнутом значении показателей результата использования субсидий по форме, утвержденной Министерством образования и науки Мурманской области.</w:t>
      </w:r>
      <w:proofErr w:type="gramEnd"/>
    </w:p>
    <w:p w:rsidR="00FF263E" w:rsidRDefault="00F26CC7">
      <w:pPr>
        <w:pStyle w:val="ConsPlusNormal"/>
        <w:spacing w:before="240"/>
        <w:ind w:firstLine="540"/>
        <w:jc w:val="both"/>
      </w:pPr>
      <w:r>
        <w:t>Уполномоченные органы муниципальных образований представляют в Минстрой следующие формы отчетности: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- о ра</w:t>
      </w:r>
      <w:r>
        <w:t>сходах бюджета муниципального образования в разрезе мероприятий - ежемесячно не позднее 5 числа месяца, следующего за отчетным месяцем, в котором были получены субсидии, и не позднее 15 января за год;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 xml:space="preserve">- о достижении </w:t>
      </w:r>
      <w:proofErr w:type="gramStart"/>
      <w:r>
        <w:t>значений показателей результативности ис</w:t>
      </w:r>
      <w:r>
        <w:t>пользования субсидий</w:t>
      </w:r>
      <w:proofErr w:type="gramEnd"/>
      <w:r>
        <w:t xml:space="preserve"> ежегодно не позднее 15 января года, следующего за отчетным годом;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- по форме 0503127 "Отчет об исполнении бюджета главного распорядителя (распорядителя), получателя бюджетных средств" по средствам областного и местного бюджетов не позд</w:t>
      </w:r>
      <w:r>
        <w:t>нее 5 числа месяца, следующего за отчетным кварталом, в котором были получены субсидии;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>- конъюнктурные обзоры не позднее 5 числа месяца, следующего за отчетным кварталом, в котором были получены субсидии.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 xml:space="preserve">16. Минстрой осуществляет оценку результативности </w:t>
      </w:r>
      <w:r>
        <w:t xml:space="preserve">предоставления субсидий на основании </w:t>
      </w:r>
      <w:proofErr w:type="gramStart"/>
      <w:r>
        <w:t>сравнения значения показателя результативности предоставления</w:t>
      </w:r>
      <w:proofErr w:type="gramEnd"/>
      <w:r>
        <w:t xml:space="preserve"> субсидий, установленного соглашением, и фактически достигнутого по итогам отчетного года значения </w:t>
      </w:r>
      <w:r>
        <w:lastRenderedPageBreak/>
        <w:t>показателя результативности предоставления субсидий.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 xml:space="preserve">17. В </w:t>
      </w:r>
      <w:r>
        <w:t>случае нецелевого использования субсидий применяются бюджетные меры принуждения, предусмотренные бюджетным законодательством Российской Федерации.</w:t>
      </w:r>
    </w:p>
    <w:p w:rsidR="00FF263E" w:rsidRDefault="00F26CC7">
      <w:pPr>
        <w:pStyle w:val="ConsPlusNormal"/>
        <w:spacing w:before="240"/>
        <w:ind w:firstLine="540"/>
        <w:jc w:val="both"/>
      </w:pPr>
      <w:proofErr w:type="gramStart"/>
      <w:r>
        <w:t>В случае если муниципальным образованием по состоянию на 31 декабря года предоставления субсидии допущены нар</w:t>
      </w:r>
      <w:r>
        <w:t>ушения обязательств, предусмотренных соглашением в соответствии с подпунктом 4 пункта 7 Правил N 445-ПП, объем средств, подлежащий возврату из местного бюджета в областной бюджет в срок до 1 июня года, следующего за годом предоставления субсидии (</w:t>
      </w:r>
      <w:proofErr w:type="spellStart"/>
      <w:r>
        <w:t>Sн</w:t>
      </w:r>
      <w:proofErr w:type="spellEnd"/>
      <w:r>
        <w:t>), расс</w:t>
      </w:r>
      <w:r>
        <w:t>читывается по формуле:</w:t>
      </w:r>
      <w:proofErr w:type="gramEnd"/>
    </w:p>
    <w:p w:rsidR="00FF263E" w:rsidRDefault="00FF263E">
      <w:pPr>
        <w:pStyle w:val="ConsPlusNormal"/>
        <w:jc w:val="both"/>
      </w:pPr>
    </w:p>
    <w:p w:rsidR="00FF263E" w:rsidRDefault="00F26CC7">
      <w:pPr>
        <w:pStyle w:val="ConsPlusNormal"/>
        <w:jc w:val="center"/>
      </w:pPr>
      <w:proofErr w:type="spellStart"/>
      <w:proofErr w:type="gramStart"/>
      <w:r>
        <w:t>S</w:t>
      </w:r>
      <w:proofErr w:type="gramEnd"/>
      <w:r>
        <w:t>н</w:t>
      </w:r>
      <w:proofErr w:type="spellEnd"/>
      <w:r>
        <w:t xml:space="preserve"> = </w:t>
      </w:r>
      <w:proofErr w:type="spellStart"/>
      <w:r>
        <w:t>Sф</w:t>
      </w:r>
      <w:proofErr w:type="spellEnd"/>
      <w:r>
        <w:t xml:space="preserve"> - </w:t>
      </w:r>
      <w:proofErr w:type="spellStart"/>
      <w:r>
        <w:t>Sк</w:t>
      </w:r>
      <w:proofErr w:type="spellEnd"/>
      <w:r>
        <w:t xml:space="preserve"> x </w:t>
      </w:r>
      <w:proofErr w:type="spellStart"/>
      <w:r>
        <w:t>Кф</w:t>
      </w:r>
      <w:proofErr w:type="spellEnd"/>
      <w:r>
        <w:t>, где:</w:t>
      </w:r>
    </w:p>
    <w:p w:rsidR="00FF263E" w:rsidRDefault="00FF263E">
      <w:pPr>
        <w:pStyle w:val="ConsPlusNormal"/>
        <w:jc w:val="both"/>
      </w:pPr>
    </w:p>
    <w:p w:rsidR="00FF263E" w:rsidRDefault="00F26CC7">
      <w:pPr>
        <w:pStyle w:val="ConsPlusNormal"/>
        <w:ind w:firstLine="540"/>
        <w:jc w:val="both"/>
      </w:pPr>
      <w:proofErr w:type="spellStart"/>
      <w:proofErr w:type="gramStart"/>
      <w:r>
        <w:t>S</w:t>
      </w:r>
      <w:proofErr w:type="gramEnd"/>
      <w:r>
        <w:t>ф</w:t>
      </w:r>
      <w:proofErr w:type="spellEnd"/>
      <w:r>
        <w:t xml:space="preserve"> - сумма предоставленных субсидий для софинансирования расходного обязательства муниципального образования;</w:t>
      </w:r>
    </w:p>
    <w:p w:rsidR="00FF263E" w:rsidRDefault="00F26CC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S</w:t>
      </w:r>
      <w:proofErr w:type="gramEnd"/>
      <w:r>
        <w:t>к</w:t>
      </w:r>
      <w:proofErr w:type="spellEnd"/>
      <w:r>
        <w:t xml:space="preserve"> - объем фактически произведенных кассовых расходов на исполнение расходного обязательства муни</w:t>
      </w:r>
      <w:r>
        <w:t>ципального образования в соответствующем финансовом году;</w:t>
      </w:r>
    </w:p>
    <w:p w:rsidR="00FF263E" w:rsidRDefault="00F26CC7">
      <w:pPr>
        <w:pStyle w:val="ConsPlusNormal"/>
        <w:spacing w:before="240"/>
        <w:ind w:firstLine="540"/>
        <w:jc w:val="both"/>
      </w:pPr>
      <w:proofErr w:type="spellStart"/>
      <w:r>
        <w:t>Кф</w:t>
      </w:r>
      <w:proofErr w:type="spellEnd"/>
      <w:r>
        <w:t xml:space="preserve"> - коэффициент, выражающий уровень софинансирования расходного обязательства муниципального образования в соответствии с соглашением.</w:t>
      </w:r>
    </w:p>
    <w:p w:rsidR="00FF263E" w:rsidRDefault="00F26CC7">
      <w:pPr>
        <w:pStyle w:val="ConsPlusNormal"/>
        <w:spacing w:before="240"/>
        <w:ind w:firstLine="540"/>
        <w:jc w:val="both"/>
      </w:pPr>
      <w:r>
        <w:t xml:space="preserve">18. </w:t>
      </w:r>
      <w:proofErr w:type="gramStart"/>
      <w:r>
        <w:t>Контроль за</w:t>
      </w:r>
      <w:proofErr w:type="gramEnd"/>
      <w:r>
        <w:t xml:space="preserve"> соблюдением муниципальными образованиями услов</w:t>
      </w:r>
      <w:r>
        <w:t>ий, целей и порядка, установленных при предоставлении субсидий, осуществляется Минстроем и органами государственного финансового контроля.</w:t>
      </w:r>
    </w:p>
    <w:p w:rsidR="00FF263E" w:rsidRDefault="00FF263E">
      <w:pPr>
        <w:pStyle w:val="ConsPlusNormal"/>
        <w:jc w:val="both"/>
      </w:pPr>
    </w:p>
    <w:p w:rsidR="00FF263E" w:rsidRDefault="00FF263E">
      <w:pPr>
        <w:pStyle w:val="ConsPlusNormal"/>
        <w:jc w:val="both"/>
      </w:pPr>
    </w:p>
    <w:p w:rsidR="00FF263E" w:rsidRDefault="00FF263E">
      <w:pPr>
        <w:pStyle w:val="ConsPlusNormal"/>
        <w:jc w:val="both"/>
      </w:pPr>
    </w:p>
    <w:p w:rsidR="00FF263E" w:rsidRDefault="00FF263E">
      <w:pPr>
        <w:pStyle w:val="ConsPlusNormal"/>
        <w:jc w:val="both"/>
      </w:pPr>
    </w:p>
    <w:p w:rsidR="00FF263E" w:rsidRDefault="00FF263E">
      <w:pPr>
        <w:pStyle w:val="ConsPlusNormal"/>
        <w:jc w:val="both"/>
      </w:pPr>
    </w:p>
    <w:p w:rsidR="00FF263E" w:rsidRDefault="00F26CC7">
      <w:pPr>
        <w:pStyle w:val="ConsPlusNormal"/>
      </w:pPr>
      <w:r>
        <w:rPr>
          <w:i/>
        </w:rPr>
        <w:br/>
        <w:t>Постановление Правительства Мурманской области от 11.11.2020 N 791-ПП (ред. от 20.10.2025) "</w:t>
      </w:r>
      <w:r>
        <w:rPr>
          <w:i/>
        </w:rPr>
        <w:t>Об утверждении государственной программы Мурманской области "Образование и наука"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FF263E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63E"/>
    <w:rsid w:val="00F26CC7"/>
    <w:rsid w:val="00FF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3137</Words>
  <Characters>17885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11.11.2020 N 791-ПП
(ред. от 20.10.2025)
"Об утверждении государственной программы Мурманской области "Образование и наука"</vt:lpstr>
    </vt:vector>
  </TitlesOfParts>
  <Company>КонсультантПлюс Версия 4024.00.50</Company>
  <LinksUpToDate>false</LinksUpToDate>
  <CharactersWithSpaces>20981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11.11.2020 N 791-ПП
(ред. от 20.10.2025)
"Об утверждении государственной программы Мурманской области "Образование и наука"</dc:title>
  <dc:creator>Поддубная А.В.</dc:creator>
  <cp:lastModifiedBy>Поддубная А.В.</cp:lastModifiedBy>
  <cp:revision>2</cp:revision>
  <dcterms:created xsi:type="dcterms:W3CDTF">2025-10-24T13:43:00Z</dcterms:created>
  <dcterms:modified xsi:type="dcterms:W3CDTF">2025-10-24T13:43:00Z</dcterms:modified>
</cp:coreProperties>
</file>